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04285FB1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AC1BE6">
              <w:rPr>
                <w:bCs/>
                <w:i/>
                <w:iCs/>
                <w:noProof/>
                <w:sz w:val="26"/>
                <w:szCs w:val="26"/>
              </w:rPr>
              <w:t>6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2BCE258E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bookmarkStart w:id="0" w:name="_Hlk224563180"/>
      <w:r w:rsidR="00FA585A" w:rsidRPr="00E35552">
        <w:rPr>
          <w:noProof/>
          <w:sz w:val="26"/>
          <w:szCs w:val="26"/>
        </w:rPr>
        <w:t>vật tư</w:t>
      </w:r>
      <w:r w:rsidR="001B1BA0" w:rsidRPr="00E35552">
        <w:rPr>
          <w:noProof/>
          <w:sz w:val="26"/>
          <w:szCs w:val="26"/>
        </w:rPr>
        <w:t xml:space="preserve"> </w:t>
      </w:r>
      <w:bookmarkEnd w:id="0"/>
      <w:r w:rsidR="002712F4">
        <w:rPr>
          <w:noProof/>
          <w:sz w:val="26"/>
          <w:szCs w:val="26"/>
        </w:rPr>
        <w:t xml:space="preserve">tiêu hao (Đợt 3) </w:t>
      </w:r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74BA05AD" w:rsidR="00ED38A4" w:rsidRPr="00C803B7" w:rsidRDefault="00B851B4" w:rsidP="00011487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011487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576F14CC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2712F4">
        <w:rPr>
          <w:noProof/>
          <w:sz w:val="26"/>
          <w:szCs w:val="26"/>
        </w:rPr>
        <w:t>0</w:t>
      </w:r>
      <w:r w:rsidR="00FA585A">
        <w:rPr>
          <w:noProof/>
          <w:sz w:val="26"/>
          <w:szCs w:val="26"/>
        </w:rPr>
        <w:t>3</w:t>
      </w:r>
      <w:r w:rsidR="00DC4C24" w:rsidRPr="00B85E48">
        <w:rPr>
          <w:noProof/>
          <w:sz w:val="26"/>
          <w:szCs w:val="26"/>
        </w:rPr>
        <w:t xml:space="preserve"> </w:t>
      </w:r>
      <w:r w:rsidR="006E71F4" w:rsidRPr="00B85E48">
        <w:rPr>
          <w:noProof/>
          <w:sz w:val="26"/>
          <w:szCs w:val="26"/>
        </w:rPr>
        <w:t>tháng</w:t>
      </w:r>
      <w:r w:rsidR="00FA5CDF">
        <w:rPr>
          <w:noProof/>
          <w:sz w:val="26"/>
          <w:szCs w:val="26"/>
        </w:rPr>
        <w:t xml:space="preserve"> </w:t>
      </w:r>
      <w:r w:rsidR="002712F4">
        <w:rPr>
          <w:noProof/>
          <w:sz w:val="26"/>
          <w:szCs w:val="26"/>
        </w:rPr>
        <w:t>7</w:t>
      </w:r>
      <w:r w:rsidR="006E71F4" w:rsidRPr="00B85E48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74F2B66D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2712F4">
        <w:rPr>
          <w:noProof/>
          <w:sz w:val="26"/>
          <w:szCs w:val="26"/>
        </w:rPr>
        <w:t>0</w:t>
      </w:r>
      <w:r w:rsidR="00FA585A">
        <w:rPr>
          <w:noProof/>
          <w:sz w:val="26"/>
          <w:szCs w:val="26"/>
        </w:rPr>
        <w:t>3</w:t>
      </w:r>
      <w:r w:rsidR="00AA066D" w:rsidRPr="00B85E48">
        <w:rPr>
          <w:noProof/>
          <w:sz w:val="26"/>
          <w:szCs w:val="26"/>
        </w:rPr>
        <w:t xml:space="preserve"> </w:t>
      </w:r>
      <w:r w:rsidR="00C43B14" w:rsidRPr="00B85E48">
        <w:rPr>
          <w:noProof/>
          <w:sz w:val="26"/>
          <w:szCs w:val="26"/>
        </w:rPr>
        <w:t>tháng</w:t>
      </w:r>
      <w:r w:rsidR="00266E55" w:rsidRPr="00B85E48">
        <w:rPr>
          <w:noProof/>
          <w:sz w:val="26"/>
          <w:szCs w:val="26"/>
        </w:rPr>
        <w:t xml:space="preserve"> </w:t>
      </w:r>
      <w:r w:rsidR="002712F4">
        <w:rPr>
          <w:noProof/>
          <w:sz w:val="26"/>
          <w:szCs w:val="26"/>
        </w:rPr>
        <w:t>7</w:t>
      </w:r>
      <w:r w:rsidR="00627F62" w:rsidRPr="00B85E48">
        <w:rPr>
          <w:noProof/>
          <w:sz w:val="26"/>
          <w:szCs w:val="26"/>
          <w:lang w:val="vi-VN"/>
        </w:rPr>
        <w:t xml:space="preserve"> </w:t>
      </w:r>
      <w:r w:rsidR="00C43B14" w:rsidRPr="00B85E48">
        <w:rPr>
          <w:noProof/>
          <w:sz w:val="26"/>
          <w:szCs w:val="26"/>
        </w:rPr>
        <w:t xml:space="preserve">năm </w:t>
      </w:r>
      <w:r w:rsidR="00C43B14" w:rsidRPr="00C803B7">
        <w:rPr>
          <w:noProof/>
          <w:sz w:val="26"/>
          <w:szCs w:val="26"/>
        </w:rPr>
        <w:t>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57A05931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AC1BE6" w:rsidRPr="00EF506C">
        <w:rPr>
          <w:noProof/>
          <w:sz w:val="26"/>
          <w:szCs w:val="26"/>
        </w:rPr>
        <w:t xml:space="preserve">Mua </w:t>
      </w:r>
      <w:r w:rsidR="00AC1BE6" w:rsidRPr="00E35552">
        <w:rPr>
          <w:noProof/>
          <w:sz w:val="26"/>
          <w:szCs w:val="26"/>
        </w:rPr>
        <w:t xml:space="preserve">sắm </w:t>
      </w:r>
      <w:r w:rsidR="00FA585A" w:rsidRPr="00E35552">
        <w:rPr>
          <w:noProof/>
          <w:sz w:val="26"/>
          <w:szCs w:val="26"/>
        </w:rPr>
        <w:t>vật tư</w:t>
      </w:r>
      <w:r w:rsidR="00FA5CDF" w:rsidRPr="00E35552">
        <w:rPr>
          <w:noProof/>
          <w:sz w:val="26"/>
          <w:szCs w:val="26"/>
        </w:rPr>
        <w:t xml:space="preserve"> </w:t>
      </w:r>
      <w:r w:rsidR="002712F4">
        <w:rPr>
          <w:noProof/>
          <w:sz w:val="26"/>
          <w:szCs w:val="26"/>
        </w:rPr>
        <w:t xml:space="preserve">tiêu hao (Đợt 3)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28C2B922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 xml:space="preserve">Thư chào giá hoặc bảng báo giá của nhà thầu theo mẫu tại </w:t>
      </w:r>
      <w:r w:rsidR="00953B2C">
        <w:rPr>
          <w:noProof/>
          <w:sz w:val="26"/>
          <w:szCs w:val="26"/>
        </w:rPr>
        <w:t>biểu mẫu 01</w:t>
      </w:r>
    </w:p>
    <w:p w14:paraId="08AC9613" w14:textId="39D4A644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="00953B2C">
        <w:rPr>
          <w:noProof/>
          <w:sz w:val="26"/>
          <w:szCs w:val="26"/>
        </w:rPr>
        <w:t>biểu mẫu</w:t>
      </w:r>
      <w:r w:rsidRPr="00BF40E3">
        <w:rPr>
          <w:noProof/>
          <w:sz w:val="26"/>
          <w:szCs w:val="26"/>
        </w:rPr>
        <w:t xml:space="preserve"> 0</w:t>
      </w:r>
      <w:r>
        <w:rPr>
          <w:noProof/>
          <w:sz w:val="26"/>
          <w:szCs w:val="26"/>
        </w:rPr>
        <w:t>2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29FF19EA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5EF79CF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</w:t>
      </w:r>
      <w:r w:rsidR="004F2CAB">
        <w:rPr>
          <w:noProof/>
          <w:sz w:val="26"/>
          <w:szCs w:val="26"/>
        </w:rPr>
        <w:t>1</w:t>
      </w:r>
      <w:r>
        <w:rPr>
          <w:noProof/>
          <w:sz w:val="26"/>
          <w:szCs w:val="26"/>
        </w:rPr>
        <w:t xml:space="preserve">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194CF5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194CF5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194CF5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1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phúc</w:t>
                  </w:r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5AA69F26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</w:t>
      </w:r>
    </w:p>
    <w:p w14:paraId="184A14A3" w14:textId="7DC5D95F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bookmarkStart w:id="2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FA585A">
        <w:rPr>
          <w:b/>
          <w:bCs/>
          <w:noProof/>
          <w:sz w:val="26"/>
          <w:szCs w:val="26"/>
        </w:rPr>
        <w:t xml:space="preserve">VẬT TƯ </w:t>
      </w:r>
      <w:r w:rsidR="002712F4">
        <w:rPr>
          <w:b/>
          <w:bCs/>
          <w:noProof/>
          <w:sz w:val="26"/>
          <w:szCs w:val="26"/>
        </w:rPr>
        <w:t xml:space="preserve">TIÊU HAO (ĐỢT 3) </w:t>
      </w:r>
      <w:r w:rsidRPr="00C803B7">
        <w:rPr>
          <w:b/>
          <w:bCs/>
          <w:sz w:val="26"/>
          <w:szCs w:val="26"/>
        </w:rPr>
        <w:t>PHỤC VỤ CÔNG TÁC KHÁM, CHỮA BỆNH 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5ED27EDA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711FD0">
        <w:rPr>
          <w:sz w:val="26"/>
          <w:szCs w:val="26"/>
        </w:rPr>
        <w:t>6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25"/>
        <w:gridCol w:w="5130"/>
        <w:gridCol w:w="900"/>
        <w:gridCol w:w="990"/>
      </w:tblGrid>
      <w:tr w:rsidR="00711FD0" w:rsidRPr="00980F35" w14:paraId="38B6DFBA" w14:textId="77777777" w:rsidTr="004665FA">
        <w:trPr>
          <w:trHeight w:val="995"/>
          <w:tblHeader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  <w:hideMark/>
          </w:tcPr>
          <w:bookmarkEnd w:id="1"/>
          <w:bookmarkEnd w:id="2"/>
          <w:p w14:paraId="662DCDAC" w14:textId="77777777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0F3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  <w:hideMark/>
          </w:tcPr>
          <w:p w14:paraId="063833DA" w14:textId="77777777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80F35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  <w:hideMark/>
          </w:tcPr>
          <w:p w14:paraId="3529E90B" w14:textId="49DE515B" w:rsidR="00711FD0" w:rsidRPr="00980F35" w:rsidRDefault="00711FD0" w:rsidP="00711F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0F35">
              <w:rPr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14:paraId="1BFE7A01" w14:textId="246E0462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0F35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14:paraId="0C9B3116" w14:textId="77777777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80F35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2712F4" w:rsidRPr="00980F35" w14:paraId="3454AFF7" w14:textId="77777777" w:rsidTr="004665FA">
        <w:trPr>
          <w:trHeight w:val="1526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68CE81C" w14:textId="4F08B871" w:rsidR="002712F4" w:rsidRPr="00980F35" w:rsidRDefault="002712F4" w:rsidP="002712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6B149D3" w14:textId="1C98A2B1" w:rsidR="002712F4" w:rsidRPr="00980F35" w:rsidRDefault="002712F4" w:rsidP="002712F4">
            <w:pPr>
              <w:spacing w:line="276" w:lineRule="auto"/>
              <w:rPr>
                <w:sz w:val="26"/>
                <w:szCs w:val="26"/>
              </w:rPr>
            </w:pPr>
            <w:r>
              <w:t xml:space="preserve">Gel </w:t>
            </w:r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A69DA59" w14:textId="26A61966" w:rsidR="002712F4" w:rsidRPr="00980F35" w:rsidRDefault="002712F4" w:rsidP="002712F4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Thành </w:t>
            </w:r>
            <w:proofErr w:type="spellStart"/>
            <w:r>
              <w:rPr>
                <w:color w:val="000000"/>
              </w:rPr>
              <w:t>phần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Nước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khiết</w:t>
            </w:r>
            <w:proofErr w:type="spellEnd"/>
            <w:r>
              <w:rPr>
                <w:color w:val="000000"/>
              </w:rPr>
              <w:t xml:space="preserve">, Carbomer, Glycerin, EC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đương</w:t>
            </w:r>
            <w:proofErr w:type="spellEnd"/>
            <w:r>
              <w:rPr>
                <w:color w:val="000000"/>
              </w:rPr>
              <w:br/>
              <w:t xml:space="preserve">Gel tan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nước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mùi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ứng</w:t>
            </w:r>
            <w:proofErr w:type="spellEnd"/>
            <w:r>
              <w:rPr>
                <w:color w:val="000000"/>
              </w:rPr>
              <w:t xml:space="preserve"> da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9EA791A" w14:textId="4D292144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Lít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3349C16" w14:textId="341D5DA2" w:rsidR="002712F4" w:rsidRPr="00980F35" w:rsidRDefault="002712F4" w:rsidP="002712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500 </w:t>
            </w:r>
          </w:p>
        </w:tc>
      </w:tr>
      <w:tr w:rsidR="002712F4" w:rsidRPr="00980F35" w14:paraId="14D671D4" w14:textId="77777777" w:rsidTr="004665FA">
        <w:trPr>
          <w:trHeight w:val="1796"/>
          <w:jc w:val="center"/>
        </w:trPr>
        <w:tc>
          <w:tcPr>
            <w:tcW w:w="720" w:type="dxa"/>
            <w:vAlign w:val="center"/>
          </w:tcPr>
          <w:p w14:paraId="625B5EB8" w14:textId="6F3F95B1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664DAD21" w14:textId="755E9DD6" w:rsidR="002712F4" w:rsidRPr="00980F35" w:rsidRDefault="002712F4" w:rsidP="002712F4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nạ</w:t>
            </w:r>
            <w:proofErr w:type="spellEnd"/>
            <w:r>
              <w:t xml:space="preserve"> oxy </w:t>
            </w:r>
          </w:p>
        </w:tc>
        <w:tc>
          <w:tcPr>
            <w:tcW w:w="5130" w:type="dxa"/>
            <w:shd w:val="clear" w:color="000000" w:fill="FFFFFF"/>
            <w:vAlign w:val="center"/>
          </w:tcPr>
          <w:p w14:paraId="4CF7C798" w14:textId="49DA025E" w:rsidR="002712F4" w:rsidRPr="00980F35" w:rsidRDefault="002712F4" w:rsidP="002712F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liệu</w:t>
            </w:r>
            <w:proofErr w:type="spellEnd"/>
            <w:r>
              <w:rPr>
                <w:color w:val="000000"/>
              </w:rPr>
              <w:t xml:space="preserve">: PVC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đương</w:t>
            </w:r>
            <w:proofErr w:type="spellEnd"/>
            <w:r>
              <w:rPr>
                <w:color w:val="000000"/>
              </w:rPr>
              <w:br/>
              <w:t xml:space="preserve">Các </w:t>
            </w:r>
            <w:proofErr w:type="spellStart"/>
            <w:r>
              <w:rPr>
                <w:color w:val="000000"/>
              </w:rPr>
              <w:t>cỡ</w:t>
            </w:r>
            <w:proofErr w:type="spellEnd"/>
            <w:r>
              <w:rPr>
                <w:color w:val="000000"/>
              </w:rPr>
              <w:t>: S - XL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≥ 2m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kẹp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mũi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mũi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hồi</w:t>
            </w:r>
            <w:proofErr w:type="spellEnd"/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8B0EEAE" w14:textId="4B99B214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Cái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16C16899" w14:textId="0706169B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400 </w:t>
            </w:r>
          </w:p>
        </w:tc>
      </w:tr>
      <w:tr w:rsidR="002712F4" w:rsidRPr="00980F35" w14:paraId="42389DB6" w14:textId="77777777" w:rsidTr="004665FA">
        <w:trPr>
          <w:trHeight w:val="1508"/>
          <w:jc w:val="center"/>
        </w:trPr>
        <w:tc>
          <w:tcPr>
            <w:tcW w:w="720" w:type="dxa"/>
            <w:vAlign w:val="center"/>
          </w:tcPr>
          <w:p w14:paraId="0FAA98EA" w14:textId="6E7279B5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1EB908A0" w14:textId="38B40B71" w:rsidR="002712F4" w:rsidRPr="00980F35" w:rsidRDefault="002712F4" w:rsidP="002712F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t>Tấm</w:t>
            </w:r>
            <w:proofErr w:type="spellEnd"/>
            <w:r>
              <w:t xml:space="preserve"> </w:t>
            </w:r>
            <w:proofErr w:type="spellStart"/>
            <w:r>
              <w:t>lắc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  <w:r>
              <w:t xml:space="preserve"> </w:t>
            </w:r>
          </w:p>
        </w:tc>
        <w:tc>
          <w:tcPr>
            <w:tcW w:w="5130" w:type="dxa"/>
            <w:shd w:val="clear" w:color="000000" w:fill="FFFFFF"/>
            <w:vAlign w:val="center"/>
          </w:tcPr>
          <w:p w14:paraId="3B8C9DC5" w14:textId="6E27BD19" w:rsidR="002712F4" w:rsidRPr="00980F35" w:rsidRDefault="002712F4" w:rsidP="002712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Hydrogel </w:t>
            </w:r>
            <w:proofErr w:type="spellStart"/>
            <w:r>
              <w:rPr>
                <w:color w:val="000000"/>
              </w:rPr>
              <w:t>mềm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mại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da. </w:t>
            </w:r>
            <w:proofErr w:type="spellStart"/>
            <w:r>
              <w:rPr>
                <w:color w:val="000000"/>
              </w:rPr>
              <w:t>Trở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xúc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thấp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đảm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Viền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giúp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an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Diện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>: ≥ 118cm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1C8D5886" w14:textId="058E5A20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Cái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7589CADE" w14:textId="0F9DF5FA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2.000 </w:t>
            </w:r>
          </w:p>
        </w:tc>
      </w:tr>
      <w:tr w:rsidR="002712F4" w:rsidRPr="00980F35" w14:paraId="6363000C" w14:textId="77777777" w:rsidTr="004665FA">
        <w:trPr>
          <w:trHeight w:val="1076"/>
          <w:jc w:val="center"/>
        </w:trPr>
        <w:tc>
          <w:tcPr>
            <w:tcW w:w="720" w:type="dxa"/>
            <w:vAlign w:val="center"/>
          </w:tcPr>
          <w:p w14:paraId="4166E59D" w14:textId="2722E599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23838836" w14:textId="00CEEA7D" w:rsidR="002712F4" w:rsidRPr="00980F35" w:rsidRDefault="002712F4" w:rsidP="002712F4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t>Vòng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thắt</w:t>
            </w:r>
            <w:proofErr w:type="spellEnd"/>
            <w:r>
              <w:t xml:space="preserve"> </w:t>
            </w:r>
            <w:proofErr w:type="spellStart"/>
            <w:r>
              <w:t>trĩ</w:t>
            </w:r>
            <w:proofErr w:type="spellEnd"/>
          </w:p>
        </w:tc>
        <w:tc>
          <w:tcPr>
            <w:tcW w:w="5130" w:type="dxa"/>
            <w:shd w:val="clear" w:color="000000" w:fill="FFFFFF"/>
            <w:vAlign w:val="center"/>
          </w:tcPr>
          <w:p w14:paraId="080D40BC" w14:textId="1D0670F7" w:rsidR="002712F4" w:rsidRPr="00980F35" w:rsidRDefault="002712F4" w:rsidP="002712F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liệu</w:t>
            </w:r>
            <w:proofErr w:type="spellEnd"/>
            <w:r>
              <w:rPr>
                <w:color w:val="000000"/>
              </w:rPr>
              <w:t xml:space="preserve">: Cao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đương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Hộp</w:t>
            </w:r>
            <w:proofErr w:type="spellEnd"/>
            <w:r>
              <w:rPr>
                <w:color w:val="000000"/>
              </w:rPr>
              <w:t>/ ≥ 100 cái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7F7919DA" w14:textId="1B286603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Cái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63E1AAD1" w14:textId="39F23E1B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300 </w:t>
            </w:r>
          </w:p>
        </w:tc>
      </w:tr>
      <w:tr w:rsidR="002712F4" w:rsidRPr="00980F35" w14:paraId="09D39311" w14:textId="77777777" w:rsidTr="004665FA">
        <w:trPr>
          <w:trHeight w:val="3146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E468EA1" w14:textId="239D5463" w:rsidR="002712F4" w:rsidRPr="00980F35" w:rsidRDefault="002712F4" w:rsidP="002712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3DAA0F7" w14:textId="65BB22B8" w:rsidR="002712F4" w:rsidRPr="00980F35" w:rsidRDefault="002712F4" w:rsidP="002712F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bóp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thở</w:t>
            </w:r>
            <w:proofErr w:type="spellEnd"/>
            <w:r>
              <w:t xml:space="preserve">, </w:t>
            </w:r>
            <w:proofErr w:type="spellStart"/>
            <w:r>
              <w:t>có</w:t>
            </w:r>
            <w:proofErr w:type="spellEnd"/>
            <w:r>
              <w:t xml:space="preserve"> van peep 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55DDB79" w14:textId="572FD4FE" w:rsidR="002712F4" w:rsidRPr="00980F35" w:rsidRDefault="002712F4" w:rsidP="002712F4">
            <w:pPr>
              <w:rPr>
                <w:sz w:val="26"/>
                <w:szCs w:val="26"/>
              </w:rPr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bóp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thở</w:t>
            </w:r>
            <w:proofErr w:type="spellEnd"/>
            <w:r>
              <w:t xml:space="preserve"> Silicone,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, </w:t>
            </w:r>
            <w:proofErr w:type="spellStart"/>
            <w:r>
              <w:t>có</w:t>
            </w:r>
            <w:proofErr w:type="spellEnd"/>
            <w:r>
              <w:t xml:space="preserve"> van peep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cỡ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bao </w:t>
            </w:r>
            <w:proofErr w:type="spellStart"/>
            <w:r>
              <w:t>gồm</w:t>
            </w:r>
            <w:proofErr w:type="spellEnd"/>
            <w:r>
              <w:t xml:space="preserve">: </w:t>
            </w:r>
            <w:r>
              <w:br/>
              <w:t xml:space="preserve">-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bóp</w:t>
            </w:r>
            <w:proofErr w:type="spellEnd"/>
            <w:r>
              <w:t xml:space="preserve"> Silicone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: 1500ml/450ml/280ml </w:t>
            </w:r>
            <w:r>
              <w:br/>
              <w:t xml:space="preserve">- Van peep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PC, silicone </w:t>
            </w:r>
            <w:r>
              <w:br/>
              <w:t xml:space="preserve">- Mask silicone </w:t>
            </w:r>
            <w:r>
              <w:br/>
              <w:t xml:space="preserve">-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chứa</w:t>
            </w:r>
            <w:proofErr w:type="spellEnd"/>
            <w:r>
              <w:t xml:space="preserve"> oxy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silicone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: 2000ml/1000ml/500ml </w:t>
            </w:r>
            <w:r>
              <w:br/>
              <w:t xml:space="preserve">- </w:t>
            </w:r>
            <w:proofErr w:type="spellStart"/>
            <w:r>
              <w:t>Dây</w:t>
            </w:r>
            <w:proofErr w:type="spellEnd"/>
            <w:r>
              <w:t xml:space="preserve"> oxy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PVC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CB9B68E" w14:textId="610B008B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Cái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B9D3A54" w14:textId="1D4553D3" w:rsidR="002712F4" w:rsidRPr="00980F35" w:rsidRDefault="002712F4" w:rsidP="002712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10 </w:t>
            </w:r>
          </w:p>
        </w:tc>
      </w:tr>
      <w:tr w:rsidR="002712F4" w:rsidRPr="00980F35" w14:paraId="008B9B65" w14:textId="77777777" w:rsidTr="004665FA">
        <w:trPr>
          <w:trHeight w:val="1076"/>
          <w:jc w:val="center"/>
        </w:trPr>
        <w:tc>
          <w:tcPr>
            <w:tcW w:w="720" w:type="dxa"/>
            <w:vAlign w:val="center"/>
          </w:tcPr>
          <w:p w14:paraId="14BDB20B" w14:textId="4981ABBF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4C6412AF" w14:textId="0EA69C20" w:rsidR="002712F4" w:rsidRPr="00980F35" w:rsidRDefault="002712F4" w:rsidP="002712F4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tiểu</w:t>
            </w:r>
            <w:proofErr w:type="spellEnd"/>
          </w:p>
        </w:tc>
        <w:tc>
          <w:tcPr>
            <w:tcW w:w="5130" w:type="dxa"/>
            <w:shd w:val="clear" w:color="000000" w:fill="FFFFFF"/>
            <w:vAlign w:val="center"/>
          </w:tcPr>
          <w:p w14:paraId="362D9060" w14:textId="28C03405" w:rsidR="002712F4" w:rsidRPr="00980F35" w:rsidRDefault="002712F4" w:rsidP="002712F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: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thiên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phủ</w:t>
            </w:r>
            <w:proofErr w:type="spellEnd"/>
            <w:r>
              <w:t xml:space="preserve"> silicone</w:t>
            </w:r>
            <w:r>
              <w:br/>
            </w:r>
            <w:proofErr w:type="spellStart"/>
            <w:r>
              <w:t>Loại</w:t>
            </w:r>
            <w:proofErr w:type="spellEnd"/>
            <w:r>
              <w:t xml:space="preserve"> 3 </w:t>
            </w:r>
            <w:proofErr w:type="spellStart"/>
            <w:r>
              <w:t>nhánh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>: 18-24Fr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0D0893B0" w14:textId="709866BA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Cái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1D166E21" w14:textId="50BAF656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200 </w:t>
            </w:r>
          </w:p>
        </w:tc>
      </w:tr>
      <w:tr w:rsidR="002712F4" w:rsidRPr="00980F35" w14:paraId="36E972C8" w14:textId="77777777" w:rsidTr="004665FA">
        <w:trPr>
          <w:trHeight w:val="2138"/>
          <w:jc w:val="center"/>
        </w:trPr>
        <w:tc>
          <w:tcPr>
            <w:tcW w:w="720" w:type="dxa"/>
            <w:vAlign w:val="center"/>
          </w:tcPr>
          <w:p w14:paraId="06D51609" w14:textId="0A81AB3E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37BB0E6B" w14:textId="2B9311D6" w:rsidR="002712F4" w:rsidRPr="00980F35" w:rsidRDefault="002712F4" w:rsidP="002712F4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catheter </w:t>
            </w:r>
            <w:proofErr w:type="spellStart"/>
            <w:r>
              <w:rPr>
                <w:color w:val="000000"/>
              </w:rPr>
              <w:t>chạy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</w:p>
        </w:tc>
        <w:tc>
          <w:tcPr>
            <w:tcW w:w="5130" w:type="dxa"/>
            <w:shd w:val="clear" w:color="000000" w:fill="FFFFFF"/>
            <w:vAlign w:val="center"/>
          </w:tcPr>
          <w:p w14:paraId="1E24F83A" w14:textId="44200DF1" w:rsidR="002712F4" w:rsidRPr="00980F35" w:rsidRDefault="002712F4" w:rsidP="002712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liệu</w:t>
            </w:r>
            <w:proofErr w:type="spellEnd"/>
            <w:r>
              <w:rPr>
                <w:color w:val="000000"/>
              </w:rPr>
              <w:t xml:space="preserve"> polyurethane </w:t>
            </w:r>
            <w:r>
              <w:rPr>
                <w:color w:val="000000"/>
              </w:rPr>
              <w:br/>
              <w:t xml:space="preserve">- </w:t>
            </w:r>
            <w:proofErr w:type="spellStart"/>
            <w:r>
              <w:rPr>
                <w:color w:val="000000"/>
              </w:rPr>
              <w:t>Kích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cỡ</w:t>
            </w:r>
            <w:proofErr w:type="spellEnd"/>
            <w:r>
              <w:rPr>
                <w:color w:val="000000"/>
              </w:rPr>
              <w:t xml:space="preserve"> 12Fr. Dài 20cm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catheter </w:t>
            </w:r>
            <w:proofErr w:type="spellStart"/>
            <w:r>
              <w:rPr>
                <w:color w:val="000000"/>
              </w:rPr>
              <w:t>gồm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chữ</w:t>
            </w:r>
            <w:proofErr w:type="spellEnd"/>
            <w:r>
              <w:rPr>
                <w:color w:val="000000"/>
              </w:rPr>
              <w:t xml:space="preserve"> J,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70cm,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kim</w:t>
            </w:r>
            <w:proofErr w:type="spellEnd"/>
            <w:r>
              <w:rPr>
                <w:color w:val="000000"/>
              </w:rPr>
              <w:t xml:space="preserve"> Nitinol; </w:t>
            </w:r>
            <w:r>
              <w:rPr>
                <w:color w:val="000000"/>
              </w:rPr>
              <w:br/>
              <w:t xml:space="preserve">Kim 18G; 02 Que </w:t>
            </w:r>
            <w:proofErr w:type="spellStart"/>
            <w:r>
              <w:rPr>
                <w:color w:val="000000"/>
              </w:rPr>
              <w:t>nong</w:t>
            </w:r>
            <w:proofErr w:type="spellEnd"/>
            <w:r>
              <w:rPr>
                <w:color w:val="000000"/>
              </w:rPr>
              <w:t xml:space="preserve"> 10-12Fr; </w:t>
            </w:r>
            <w:proofErr w:type="spellStart"/>
            <w:r>
              <w:rPr>
                <w:color w:val="000000"/>
              </w:rPr>
              <w:t>Bơm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tiêm</w:t>
            </w:r>
            <w:proofErr w:type="spellEnd"/>
            <w:r>
              <w:rPr>
                <w:color w:val="000000"/>
              </w:rPr>
              <w:t xml:space="preserve"> 5cc; Dao </w:t>
            </w:r>
            <w:proofErr w:type="spellStart"/>
            <w:r>
              <w:rPr>
                <w:color w:val="000000"/>
              </w:rPr>
              <w:t>mổ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11; 02 </w:t>
            </w:r>
            <w:proofErr w:type="spellStart"/>
            <w:r>
              <w:rPr>
                <w:color w:val="000000"/>
              </w:rPr>
              <w:t>Nắp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tiêm</w:t>
            </w:r>
            <w:proofErr w:type="spellEnd"/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0B5380AC" w14:textId="1CC3B02B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Bộ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1D7BF16C" w14:textId="07AD7A1B" w:rsidR="002712F4" w:rsidRPr="00980F35" w:rsidRDefault="002712F4" w:rsidP="002712F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1.220 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4695D074" w14:textId="77777777" w:rsidR="00AA07DE" w:rsidRDefault="00953B2C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BIỂU MẪU 01</w:t>
      </w:r>
    </w:p>
    <w:p w14:paraId="5050AA55" w14:textId="27175E9F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3" w:name="bookmark8"/>
      <w:bookmarkStart w:id="4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3"/>
      <w:bookmarkEnd w:id="4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cộng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kể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30A6E6F9" w14:textId="77777777" w:rsidR="00AA07DE" w:rsidRDefault="00953B2C" w:rsidP="00AA07DE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BIỂU MẪU</w:t>
      </w:r>
      <w:r w:rsidR="001737D0" w:rsidRPr="00C2619E">
        <w:rPr>
          <w:b/>
          <w:sz w:val="26"/>
          <w:szCs w:val="26"/>
        </w:rPr>
        <w:t xml:space="preserve"> 0</w:t>
      </w:r>
      <w:r w:rsidR="001737D0">
        <w:rPr>
          <w:b/>
          <w:sz w:val="26"/>
          <w:szCs w:val="26"/>
        </w:rPr>
        <w:t>2</w:t>
      </w:r>
    </w:p>
    <w:p w14:paraId="30437EBD" w14:textId="097A3744" w:rsidR="001737D0" w:rsidRPr="00C2619E" w:rsidRDefault="001737D0" w:rsidP="00AA07DE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chú</w:t>
            </w:r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có))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3774" w14:textId="77777777" w:rsidR="00C61B08" w:rsidRDefault="00C61B08">
      <w:r>
        <w:separator/>
      </w:r>
    </w:p>
  </w:endnote>
  <w:endnote w:type="continuationSeparator" w:id="0">
    <w:p w14:paraId="4AE9F50F" w14:textId="77777777" w:rsidR="00C61B08" w:rsidRDefault="00C6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81F5" w14:textId="77777777" w:rsidR="00C61B08" w:rsidRDefault="00C61B08">
      <w:r>
        <w:separator/>
      </w:r>
    </w:p>
  </w:footnote>
  <w:footnote w:type="continuationSeparator" w:id="0">
    <w:p w14:paraId="09736387" w14:textId="77777777" w:rsidR="00C61B08" w:rsidRDefault="00C6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1487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689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4F7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3BB8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6E3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CF5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064C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2F4"/>
    <w:rsid w:val="00271C54"/>
    <w:rsid w:val="00272572"/>
    <w:rsid w:val="00273694"/>
    <w:rsid w:val="002749A1"/>
    <w:rsid w:val="00274F18"/>
    <w:rsid w:val="00275C67"/>
    <w:rsid w:val="00276315"/>
    <w:rsid w:val="00277678"/>
    <w:rsid w:val="002803AA"/>
    <w:rsid w:val="00280DFF"/>
    <w:rsid w:val="00281F32"/>
    <w:rsid w:val="00284FE2"/>
    <w:rsid w:val="00285B18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0AFD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271F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1B1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A18"/>
    <w:rsid w:val="003A0B91"/>
    <w:rsid w:val="003A0C24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3F9D"/>
    <w:rsid w:val="003B475C"/>
    <w:rsid w:val="003B47EF"/>
    <w:rsid w:val="003B4C2D"/>
    <w:rsid w:val="003B6266"/>
    <w:rsid w:val="003B6368"/>
    <w:rsid w:val="003C26C0"/>
    <w:rsid w:val="003C283A"/>
    <w:rsid w:val="003C2C14"/>
    <w:rsid w:val="003C35BC"/>
    <w:rsid w:val="003C4316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1C4F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29E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4346"/>
    <w:rsid w:val="004551B4"/>
    <w:rsid w:val="00455834"/>
    <w:rsid w:val="00456553"/>
    <w:rsid w:val="0045700A"/>
    <w:rsid w:val="00460148"/>
    <w:rsid w:val="00460A94"/>
    <w:rsid w:val="00461184"/>
    <w:rsid w:val="00462E45"/>
    <w:rsid w:val="004665FA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6FE5"/>
    <w:rsid w:val="0049747B"/>
    <w:rsid w:val="004979A8"/>
    <w:rsid w:val="004A0588"/>
    <w:rsid w:val="004A0F21"/>
    <w:rsid w:val="004A272E"/>
    <w:rsid w:val="004A2D00"/>
    <w:rsid w:val="004A2D26"/>
    <w:rsid w:val="004A2FA2"/>
    <w:rsid w:val="004A313E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128"/>
    <w:rsid w:val="004E6B7A"/>
    <w:rsid w:val="004F02AF"/>
    <w:rsid w:val="004F28D2"/>
    <w:rsid w:val="004F2CAB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6470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22C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0B2C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67E2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1552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47EE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BD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A7138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37DD"/>
    <w:rsid w:val="006D4110"/>
    <w:rsid w:val="006D7272"/>
    <w:rsid w:val="006D757C"/>
    <w:rsid w:val="006E0913"/>
    <w:rsid w:val="006E0EAC"/>
    <w:rsid w:val="006E1C75"/>
    <w:rsid w:val="006E2A8F"/>
    <w:rsid w:val="006E492F"/>
    <w:rsid w:val="006E4F97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1FD0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87B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23EA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102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4A5E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3B2C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F7B"/>
    <w:rsid w:val="00980F35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7FE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2F36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5F95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9B0"/>
    <w:rsid w:val="00A71D4B"/>
    <w:rsid w:val="00A72BEB"/>
    <w:rsid w:val="00A732DE"/>
    <w:rsid w:val="00A749B4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07DE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295B"/>
    <w:rsid w:val="00AB343E"/>
    <w:rsid w:val="00AB577F"/>
    <w:rsid w:val="00AB7576"/>
    <w:rsid w:val="00AB7998"/>
    <w:rsid w:val="00AB7AE6"/>
    <w:rsid w:val="00AC07EB"/>
    <w:rsid w:val="00AC0A7C"/>
    <w:rsid w:val="00AC12E9"/>
    <w:rsid w:val="00AC1BE6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57C4A"/>
    <w:rsid w:val="00B606FC"/>
    <w:rsid w:val="00B60E5B"/>
    <w:rsid w:val="00B61831"/>
    <w:rsid w:val="00B61A34"/>
    <w:rsid w:val="00B62F9A"/>
    <w:rsid w:val="00B64580"/>
    <w:rsid w:val="00B645CB"/>
    <w:rsid w:val="00B65D7F"/>
    <w:rsid w:val="00B66849"/>
    <w:rsid w:val="00B73191"/>
    <w:rsid w:val="00B732EB"/>
    <w:rsid w:val="00B744B4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E48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479A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226A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1ACA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1B08"/>
    <w:rsid w:val="00C64BE4"/>
    <w:rsid w:val="00C65CF4"/>
    <w:rsid w:val="00C66C7A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146B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344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3DB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2B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A04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0BD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552"/>
    <w:rsid w:val="00E35CC2"/>
    <w:rsid w:val="00E365CB"/>
    <w:rsid w:val="00E37FD4"/>
    <w:rsid w:val="00E4026A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3C19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0A3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85A"/>
    <w:rsid w:val="00FA59D1"/>
    <w:rsid w:val="00FA5A3D"/>
    <w:rsid w:val="00FA5CDF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678"/>
    <w:rsid w:val="00FD6723"/>
    <w:rsid w:val="00FD6D3B"/>
    <w:rsid w:val="00FD7DA0"/>
    <w:rsid w:val="00FE0060"/>
    <w:rsid w:val="00FE0DAD"/>
    <w:rsid w:val="00FE1B39"/>
    <w:rsid w:val="00FE2FA6"/>
    <w:rsid w:val="00FE5C5F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1398</Words>
  <Characters>7970</Characters>
  <Application>Microsoft Office Word</Application>
  <DocSecurity>0</DocSecurity>
  <PresentationFormat/>
  <Lines>66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9350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64</cp:revision>
  <cp:lastPrinted>2026-03-16T07:27:00Z</cp:lastPrinted>
  <dcterms:created xsi:type="dcterms:W3CDTF">2025-12-16T00:59:00Z</dcterms:created>
  <dcterms:modified xsi:type="dcterms:W3CDTF">2026-06-18T07:41:00Z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