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43F8C48E" w:rsidR="005C71D7" w:rsidRPr="00C803B7" w:rsidRDefault="00C85929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5BF1606" wp14:editId="128563B0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196215</wp:posOffset>
                      </wp:positionV>
                      <wp:extent cx="1738630" cy="635"/>
                      <wp:effectExtent l="0" t="0" r="0" b="0"/>
                      <wp:wrapNone/>
                      <wp:docPr id="56071788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D50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37.55pt;margin-top:15.45pt;width:136.9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0856C8FC" w14:textId="77777777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112DF626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01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78407FF5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r w:rsidR="003B3DE3">
        <w:rPr>
          <w:noProof/>
          <w:sz w:val="26"/>
          <w:szCs w:val="26"/>
        </w:rPr>
        <w:t>vật tư đi kèm theo máy</w:t>
      </w:r>
      <w:r w:rsidR="001B1BA0">
        <w:rPr>
          <w:noProof/>
          <w:sz w:val="26"/>
          <w:szCs w:val="26"/>
        </w:rPr>
        <w:t xml:space="preserve"> </w:t>
      </w:r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1577F338" w:rsidR="00ED38A4" w:rsidRPr="00C803B7" w:rsidRDefault="00B851B4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2C13EB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115DA92B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26</w:t>
      </w:r>
      <w:r w:rsidR="00DC4C24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 xml:space="preserve">tháng </w:t>
      </w:r>
      <w:r w:rsidR="002C13EB">
        <w:rPr>
          <w:noProof/>
          <w:sz w:val="26"/>
          <w:szCs w:val="26"/>
        </w:rPr>
        <w:t>01</w:t>
      </w:r>
      <w:r w:rsidR="006E71F4" w:rsidRPr="00C803B7">
        <w:rPr>
          <w:noProof/>
          <w:sz w:val="26"/>
          <w:szCs w:val="26"/>
        </w:rPr>
        <w:t xml:space="preserve"> 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1A33D5C2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3B3DE3">
        <w:rPr>
          <w:noProof/>
          <w:sz w:val="26"/>
          <w:szCs w:val="26"/>
        </w:rPr>
        <w:t>26</w:t>
      </w:r>
      <w:r w:rsidR="00AA066D">
        <w:rPr>
          <w:noProof/>
          <w:sz w:val="26"/>
          <w:szCs w:val="26"/>
        </w:rPr>
        <w:t xml:space="preserve"> </w:t>
      </w:r>
      <w:r w:rsidR="00C43B14" w:rsidRPr="00C803B7">
        <w:rPr>
          <w:noProof/>
          <w:sz w:val="26"/>
          <w:szCs w:val="26"/>
        </w:rPr>
        <w:t>tháng</w:t>
      </w:r>
      <w:r w:rsidR="00266E55" w:rsidRPr="00C803B7">
        <w:rPr>
          <w:noProof/>
          <w:sz w:val="26"/>
          <w:szCs w:val="26"/>
        </w:rPr>
        <w:t xml:space="preserve"> </w:t>
      </w:r>
      <w:r w:rsidR="002C13EB">
        <w:rPr>
          <w:noProof/>
          <w:sz w:val="26"/>
          <w:szCs w:val="26"/>
        </w:rPr>
        <w:t>01</w:t>
      </w:r>
      <w:r w:rsidR="00627F62">
        <w:rPr>
          <w:noProof/>
          <w:sz w:val="26"/>
          <w:szCs w:val="26"/>
          <w:lang w:val="vi-VN"/>
        </w:rPr>
        <w:t xml:space="preserve"> </w:t>
      </w:r>
      <w:r w:rsidR="00C43B1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125D2147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EF506C" w:rsidRPr="00EF506C">
        <w:rPr>
          <w:noProof/>
          <w:sz w:val="26"/>
          <w:szCs w:val="26"/>
        </w:rPr>
        <w:t xml:space="preserve">Mua sắm </w:t>
      </w:r>
      <w:r w:rsidR="003B3DE3">
        <w:rPr>
          <w:noProof/>
          <w:sz w:val="26"/>
          <w:szCs w:val="26"/>
        </w:rPr>
        <w:t>vật tư đi kèm theo máy</w:t>
      </w:r>
      <w:r w:rsidR="001B1BA0">
        <w:rPr>
          <w:noProof/>
          <w:sz w:val="26"/>
          <w:szCs w:val="26"/>
        </w:rPr>
        <w:t xml:space="preserve">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 01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77777777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>Thư chào giá hoặc bảng báo giá của nhà thầu theo mẫu tại phụ lục 0</w:t>
      </w:r>
      <w:r>
        <w:rPr>
          <w:noProof/>
          <w:sz w:val="26"/>
          <w:szCs w:val="26"/>
        </w:rPr>
        <w:t>2</w:t>
      </w:r>
    </w:p>
    <w:p w14:paraId="08AC9613" w14:textId="77777777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Pr="00BF40E3">
        <w:rPr>
          <w:noProof/>
          <w:sz w:val="26"/>
          <w:szCs w:val="26"/>
        </w:rPr>
        <w:t>phụ lục 0</w:t>
      </w:r>
      <w:r>
        <w:rPr>
          <w:noProof/>
          <w:sz w:val="26"/>
          <w:szCs w:val="26"/>
        </w:rPr>
        <w:t>2</w:t>
      </w:r>
      <w:r w:rsidRPr="00BF40E3">
        <w:rPr>
          <w:noProof/>
          <w:sz w:val="26"/>
          <w:szCs w:val="26"/>
        </w:rPr>
        <w:t>.1</w:t>
      </w:r>
      <w:r>
        <w:rPr>
          <w:noProof/>
          <w:sz w:val="26"/>
          <w:szCs w:val="26"/>
        </w:rPr>
        <w:t xml:space="preserve">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77777777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01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7777777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02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411B41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411B41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411B41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0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phúc</w:t>
                  </w:r>
                  <w:proofErr w:type="spellEnd"/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4A6C2BC6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77777777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 01</w:t>
      </w:r>
    </w:p>
    <w:p w14:paraId="326AAB97" w14:textId="15EE4CF1" w:rsidR="002C13EB" w:rsidRDefault="00010C33" w:rsidP="00B16BDC">
      <w:pPr>
        <w:spacing w:line="276" w:lineRule="auto"/>
        <w:jc w:val="center"/>
        <w:rPr>
          <w:b/>
          <w:bCs/>
          <w:noProof/>
          <w:sz w:val="26"/>
          <w:szCs w:val="26"/>
        </w:rPr>
      </w:pPr>
      <w:bookmarkStart w:id="1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3B3DE3">
        <w:rPr>
          <w:b/>
          <w:bCs/>
          <w:noProof/>
          <w:sz w:val="26"/>
          <w:szCs w:val="26"/>
        </w:rPr>
        <w:t>VẬT TƯ ĐI KÈM THEO MÁY</w:t>
      </w:r>
      <w:r w:rsidR="001B1BA0">
        <w:rPr>
          <w:b/>
          <w:bCs/>
          <w:noProof/>
          <w:sz w:val="26"/>
          <w:szCs w:val="26"/>
        </w:rPr>
        <w:t xml:space="preserve"> </w:t>
      </w:r>
    </w:p>
    <w:p w14:paraId="4133CFDA" w14:textId="77777777" w:rsidR="002C13EB" w:rsidRDefault="00010C33" w:rsidP="00B16BDC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 xml:space="preserve">PHỤC VỤ CÔNG TÁC KHÁM, CHỮA BỆNH </w:t>
      </w:r>
    </w:p>
    <w:p w14:paraId="184A14A3" w14:textId="26205399" w:rsidR="00010C33" w:rsidRPr="00C803B7" w:rsidRDefault="00010C33" w:rsidP="00B16BDC">
      <w:pPr>
        <w:spacing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4CA911C1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3B3DE3">
        <w:rPr>
          <w:sz w:val="26"/>
          <w:szCs w:val="26"/>
        </w:rPr>
        <w:t>01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101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960"/>
        <w:gridCol w:w="5310"/>
        <w:gridCol w:w="990"/>
        <w:gridCol w:w="1170"/>
      </w:tblGrid>
      <w:tr w:rsidR="002C13EB" w:rsidRPr="001737D0" w14:paraId="38B6DFBA" w14:textId="77777777" w:rsidTr="003E61D8">
        <w:trPr>
          <w:trHeight w:val="820"/>
          <w:tblHeader/>
        </w:trPr>
        <w:tc>
          <w:tcPr>
            <w:tcW w:w="758" w:type="dxa"/>
            <w:vAlign w:val="center"/>
            <w:hideMark/>
          </w:tcPr>
          <w:bookmarkEnd w:id="0"/>
          <w:bookmarkEnd w:id="1"/>
          <w:p w14:paraId="662DCDAC" w14:textId="77777777" w:rsidR="002C13EB" w:rsidRPr="001737D0" w:rsidRDefault="002C13EB" w:rsidP="002C13EB">
            <w:pPr>
              <w:spacing w:line="276" w:lineRule="auto"/>
              <w:rPr>
                <w:b/>
                <w:bCs/>
              </w:rPr>
            </w:pPr>
            <w:r w:rsidRPr="001737D0">
              <w:rPr>
                <w:b/>
                <w:bCs/>
              </w:rPr>
              <w:t>STT</w:t>
            </w:r>
          </w:p>
        </w:tc>
        <w:tc>
          <w:tcPr>
            <w:tcW w:w="1960" w:type="dxa"/>
            <w:vAlign w:val="center"/>
            <w:hideMark/>
          </w:tcPr>
          <w:p w14:paraId="063833DA" w14:textId="77777777" w:rsidR="002C13EB" w:rsidRPr="001737D0" w:rsidRDefault="002C13EB" w:rsidP="00411B4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Tên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hàng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hóa</w:t>
            </w:r>
            <w:proofErr w:type="spellEnd"/>
          </w:p>
        </w:tc>
        <w:tc>
          <w:tcPr>
            <w:tcW w:w="5310" w:type="dxa"/>
            <w:vAlign w:val="center"/>
            <w:hideMark/>
          </w:tcPr>
          <w:p w14:paraId="3529E90B" w14:textId="77777777" w:rsidR="002C13EB" w:rsidRPr="001737D0" w:rsidRDefault="002C13EB" w:rsidP="00411B41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 xml:space="preserve">Thông </w:t>
            </w: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kỹ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14:paraId="1BFE7A01" w14:textId="77777777" w:rsidR="002C13EB" w:rsidRPr="001737D0" w:rsidRDefault="002C13EB" w:rsidP="00411B41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>ĐVT</w:t>
            </w:r>
          </w:p>
        </w:tc>
        <w:tc>
          <w:tcPr>
            <w:tcW w:w="1170" w:type="dxa"/>
            <w:vAlign w:val="center"/>
            <w:hideMark/>
          </w:tcPr>
          <w:p w14:paraId="0C9B3116" w14:textId="77777777" w:rsidR="002C13EB" w:rsidRPr="001737D0" w:rsidRDefault="002C13EB" w:rsidP="00411B41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lượng</w:t>
            </w:r>
            <w:proofErr w:type="spellEnd"/>
          </w:p>
        </w:tc>
      </w:tr>
      <w:tr w:rsidR="003B3DE3" w:rsidRPr="001737D0" w14:paraId="1F21BA21" w14:textId="77777777" w:rsidTr="001352AB">
        <w:trPr>
          <w:trHeight w:val="1535"/>
        </w:trPr>
        <w:tc>
          <w:tcPr>
            <w:tcW w:w="758" w:type="dxa"/>
            <w:vAlign w:val="center"/>
          </w:tcPr>
          <w:p w14:paraId="4BDF5783" w14:textId="238CB4AC" w:rsidR="003B3DE3" w:rsidRPr="001737D0" w:rsidRDefault="003B3DE3" w:rsidP="003B3DE3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14:paraId="522D2843" w14:textId="4456B9DA" w:rsidR="003B3DE3" w:rsidRPr="001737D0" w:rsidRDefault="003B3DE3" w:rsidP="003B3DE3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5310" w:type="dxa"/>
            <w:shd w:val="clear" w:color="000000" w:fill="FFFFFF"/>
            <w:vAlign w:val="center"/>
          </w:tcPr>
          <w:p w14:paraId="60312C01" w14:textId="6DD5DA5F" w:rsidR="003B3DE3" w:rsidRPr="001737D0" w:rsidRDefault="003B3DE3" w:rsidP="003B3DE3"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cứu</w:t>
            </w:r>
            <w:proofErr w:type="spellEnd"/>
            <w:r>
              <w:rPr>
                <w:sz w:val="26"/>
                <w:szCs w:val="26"/>
              </w:rPr>
              <w:t xml:space="preserve"> 6 </w:t>
            </w:r>
            <w:proofErr w:type="spellStart"/>
            <w:r>
              <w:rPr>
                <w:sz w:val="26"/>
                <w:szCs w:val="26"/>
              </w:rPr>
              <w:t>giắc</w:t>
            </w:r>
            <w:proofErr w:type="spellEnd"/>
            <w:r>
              <w:rPr>
                <w:sz w:val="26"/>
                <w:szCs w:val="26"/>
              </w:rPr>
              <w:t xml:space="preserve"> KWD-808 I</w:t>
            </w:r>
            <w:r>
              <w:rPr>
                <w:sz w:val="26"/>
                <w:szCs w:val="26"/>
              </w:rPr>
              <w:br/>
              <w:t xml:space="preserve">+ </w:t>
            </w:r>
            <w:proofErr w:type="spellStart"/>
            <w:r>
              <w:rPr>
                <w:sz w:val="26"/>
                <w:szCs w:val="26"/>
              </w:rPr>
              <w:t>Chuôi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tròn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dẹp</w:t>
            </w:r>
            <w:proofErr w:type="spellEnd"/>
            <w:r>
              <w:rPr>
                <w:sz w:val="26"/>
                <w:szCs w:val="26"/>
              </w:rPr>
              <w:br/>
              <w:t xml:space="preserve">+ 1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/ 6 </w:t>
            </w:r>
            <w:proofErr w:type="spellStart"/>
            <w:r>
              <w:rPr>
                <w:sz w:val="26"/>
                <w:szCs w:val="26"/>
              </w:rPr>
              <w:t>sợi</w:t>
            </w:r>
            <w:proofErr w:type="spellEnd"/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968B494" w14:textId="47302B13" w:rsidR="003B3DE3" w:rsidRPr="001737D0" w:rsidRDefault="003B3DE3" w:rsidP="003B3DE3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14:paraId="10E43DC0" w14:textId="4EEDAB48" w:rsidR="003B3DE3" w:rsidRPr="001737D0" w:rsidRDefault="003B3DE3" w:rsidP="003B3D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3B3DE3" w:rsidRPr="001737D0" w14:paraId="162D6AA5" w14:textId="77777777" w:rsidTr="001352AB">
        <w:trPr>
          <w:trHeight w:val="3047"/>
        </w:trPr>
        <w:tc>
          <w:tcPr>
            <w:tcW w:w="758" w:type="dxa"/>
            <w:vAlign w:val="center"/>
          </w:tcPr>
          <w:p w14:paraId="77F85DE3" w14:textId="4E24A68D" w:rsidR="003B3DE3" w:rsidRDefault="003B3DE3" w:rsidP="003B3DE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14:paraId="0E36B71E" w14:textId="6F165E90" w:rsidR="003B3DE3" w:rsidRDefault="003B3DE3" w:rsidP="003B3DE3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</w:p>
        </w:tc>
        <w:tc>
          <w:tcPr>
            <w:tcW w:w="5310" w:type="dxa"/>
            <w:shd w:val="clear" w:color="000000" w:fill="FFFFFF"/>
            <w:vAlign w:val="center"/>
          </w:tcPr>
          <w:p w14:paraId="641BB1DE" w14:textId="40276952" w:rsidR="003B3DE3" w:rsidRDefault="003B3DE3" w:rsidP="003B3DE3">
            <w:pPr>
              <w:rPr>
                <w:color w:val="000000"/>
              </w:rPr>
            </w:pP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kẹp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  <w:r>
              <w:rPr>
                <w:sz w:val="26"/>
                <w:szCs w:val="26"/>
              </w:rPr>
              <w:t xml:space="preserve"> 62cm,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lõi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cắm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kiểu</w:t>
            </w:r>
            <w:proofErr w:type="spellEnd"/>
            <w:r>
              <w:rPr>
                <w:sz w:val="26"/>
                <w:szCs w:val="26"/>
              </w:rPr>
              <w:t xml:space="preserve"> DIN 1,5 mm. Bao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br/>
              <w:t xml:space="preserve">+ 02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đen</w:t>
            </w:r>
            <w:proofErr w:type="spellEnd"/>
            <w:r>
              <w:rPr>
                <w:sz w:val="26"/>
                <w:szCs w:val="26"/>
              </w:rPr>
              <w:br/>
              <w:t xml:space="preserve">+ 02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vàng</w:t>
            </w:r>
            <w:proofErr w:type="spellEnd"/>
            <w:r>
              <w:rPr>
                <w:sz w:val="26"/>
                <w:szCs w:val="26"/>
              </w:rPr>
              <w:br/>
              <w:t xml:space="preserve">+ 02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  <w:r>
              <w:rPr>
                <w:sz w:val="26"/>
                <w:szCs w:val="26"/>
              </w:rPr>
              <w:br/>
              <w:t xml:space="preserve">+ 03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VasoScreen</w:t>
            </w:r>
            <w:proofErr w:type="spellEnd"/>
            <w:r>
              <w:rPr>
                <w:sz w:val="26"/>
                <w:szCs w:val="26"/>
              </w:rPr>
              <w:t xml:space="preserve"> 5000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158385CA" w14:textId="0ED0B68F" w:rsidR="003B3DE3" w:rsidRDefault="003B3DE3" w:rsidP="003B3DE3">
            <w:pPr>
              <w:spacing w:line="276" w:lineRule="auto"/>
              <w:jc w:val="center"/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14:paraId="71B05EB0" w14:textId="77F857C6" w:rsidR="003B3DE3" w:rsidRDefault="003B3DE3" w:rsidP="003B3DE3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</w:tr>
      <w:tr w:rsidR="003B3DE3" w:rsidRPr="001737D0" w14:paraId="38064F1E" w14:textId="77777777" w:rsidTr="001352AB">
        <w:trPr>
          <w:trHeight w:val="2147"/>
        </w:trPr>
        <w:tc>
          <w:tcPr>
            <w:tcW w:w="758" w:type="dxa"/>
            <w:vAlign w:val="center"/>
          </w:tcPr>
          <w:p w14:paraId="4136E913" w14:textId="4836B75E" w:rsidR="003B3DE3" w:rsidRDefault="003B3DE3" w:rsidP="003B3DE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14:paraId="72986394" w14:textId="76257121" w:rsidR="003B3DE3" w:rsidRDefault="003B3DE3" w:rsidP="003B3DE3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5310" w:type="dxa"/>
            <w:shd w:val="clear" w:color="000000" w:fill="FFFFFF"/>
            <w:vAlign w:val="center"/>
          </w:tcPr>
          <w:p w14:paraId="5B311143" w14:textId="43003D8A" w:rsidR="003B3DE3" w:rsidRDefault="003B3DE3" w:rsidP="003B3DE3">
            <w:pPr>
              <w:rPr>
                <w:color w:val="000000"/>
              </w:rPr>
            </w:pP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lần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kính</w:t>
            </w:r>
            <w:proofErr w:type="spellEnd"/>
            <w:r>
              <w:rPr>
                <w:sz w:val="26"/>
                <w:szCs w:val="26"/>
              </w:rPr>
              <w:t xml:space="preserve"> 22mm,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kẹp</w:t>
            </w:r>
            <w:proofErr w:type="spellEnd"/>
            <w:r>
              <w:rPr>
                <w:sz w:val="26"/>
                <w:szCs w:val="26"/>
              </w:rPr>
              <w:t xml:space="preserve"> 3mm. Bao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br/>
              <w:t xml:space="preserve">+ 08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 xml:space="preserve">+ 03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VasoScreen</w:t>
            </w:r>
            <w:proofErr w:type="spellEnd"/>
            <w:r>
              <w:rPr>
                <w:sz w:val="26"/>
                <w:szCs w:val="26"/>
              </w:rPr>
              <w:t xml:space="preserve"> 5000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47011C8" w14:textId="0D4C403E" w:rsidR="003B3DE3" w:rsidRDefault="003B3DE3" w:rsidP="003B3DE3">
            <w:pPr>
              <w:spacing w:line="276" w:lineRule="auto"/>
              <w:jc w:val="center"/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14:paraId="5A66E259" w14:textId="414940FF" w:rsidR="003B3DE3" w:rsidRDefault="003B3DE3" w:rsidP="003B3DE3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3B3DE3" w:rsidRPr="001737D0" w14:paraId="36F986A7" w14:textId="77777777" w:rsidTr="005A0BEB">
        <w:trPr>
          <w:trHeight w:val="1787"/>
        </w:trPr>
        <w:tc>
          <w:tcPr>
            <w:tcW w:w="758" w:type="dxa"/>
            <w:vAlign w:val="center"/>
          </w:tcPr>
          <w:p w14:paraId="14E990BD" w14:textId="1571F2FB" w:rsidR="003B3DE3" w:rsidRDefault="003B3DE3" w:rsidP="003B3DE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14:paraId="5F626BF0" w14:textId="4F83418D" w:rsidR="003B3DE3" w:rsidRDefault="003B3DE3" w:rsidP="003B3DE3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</w:p>
        </w:tc>
        <w:tc>
          <w:tcPr>
            <w:tcW w:w="5310" w:type="dxa"/>
            <w:shd w:val="clear" w:color="000000" w:fill="FFFFFF"/>
            <w:vAlign w:val="center"/>
          </w:tcPr>
          <w:p w14:paraId="5DD3C8C0" w14:textId="7B45AD4C" w:rsidR="003B3DE3" w:rsidRDefault="003B3DE3" w:rsidP="003B3DE3">
            <w:pPr>
              <w:rPr>
                <w:color w:val="000000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  <w:r>
              <w:rPr>
                <w:sz w:val="26"/>
                <w:szCs w:val="26"/>
              </w:rPr>
              <w:t xml:space="preserve"> 1.5m </w:t>
            </w:r>
            <w:r>
              <w:rPr>
                <w:sz w:val="26"/>
                <w:szCs w:val="26"/>
              </w:rPr>
              <w:br/>
              <w:t xml:space="preserve">+ 01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sấu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  <w:t xml:space="preserve">+ 1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/ 30 </w:t>
            </w:r>
            <w:proofErr w:type="spellStart"/>
            <w:r>
              <w:rPr>
                <w:sz w:val="26"/>
                <w:szCs w:val="26"/>
              </w:rPr>
              <w:t>sợi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 xml:space="preserve"> Model: EEG-1200K - </w:t>
            </w:r>
            <w:proofErr w:type="spellStart"/>
            <w:r>
              <w:rPr>
                <w:sz w:val="26"/>
                <w:szCs w:val="26"/>
              </w:rPr>
              <w:t>Hãng</w:t>
            </w:r>
            <w:proofErr w:type="spellEnd"/>
            <w:r>
              <w:rPr>
                <w:sz w:val="26"/>
                <w:szCs w:val="26"/>
              </w:rPr>
              <w:t xml:space="preserve">: Nihon </w:t>
            </w:r>
            <w:proofErr w:type="spellStart"/>
            <w:r>
              <w:rPr>
                <w:sz w:val="26"/>
                <w:szCs w:val="26"/>
              </w:rPr>
              <w:t>Kohden</w:t>
            </w:r>
            <w:proofErr w:type="spellEnd"/>
            <w:r>
              <w:rPr>
                <w:sz w:val="26"/>
                <w:szCs w:val="26"/>
              </w:rPr>
              <w:t xml:space="preserve"> Corporation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20C9638A" w14:textId="324F5280" w:rsidR="003B3DE3" w:rsidRDefault="003B3DE3" w:rsidP="003B3DE3">
            <w:pPr>
              <w:spacing w:line="276" w:lineRule="auto"/>
              <w:jc w:val="center"/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14:paraId="68FC6D49" w14:textId="281CC681" w:rsidR="003B3DE3" w:rsidRDefault="003B3DE3" w:rsidP="003B3DE3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</w:tr>
      <w:tr w:rsidR="003B3DE3" w:rsidRPr="001737D0" w14:paraId="4C4B7493" w14:textId="77777777" w:rsidTr="005A0BEB">
        <w:trPr>
          <w:trHeight w:val="3659"/>
        </w:trPr>
        <w:tc>
          <w:tcPr>
            <w:tcW w:w="758" w:type="dxa"/>
            <w:vAlign w:val="center"/>
          </w:tcPr>
          <w:p w14:paraId="7B286EDE" w14:textId="7976AB2A" w:rsidR="003B3DE3" w:rsidRDefault="003B3DE3" w:rsidP="003B3DE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14:paraId="59322F03" w14:textId="58916E81" w:rsidR="003B3DE3" w:rsidRDefault="003B3DE3" w:rsidP="003B3DE3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310" w:type="dxa"/>
            <w:shd w:val="clear" w:color="000000" w:fill="FFFFFF"/>
            <w:vAlign w:val="center"/>
          </w:tcPr>
          <w:p w14:paraId="7542635F" w14:textId="3B163877" w:rsidR="003B3DE3" w:rsidRDefault="003B3DE3" w:rsidP="003B3DE3">
            <w:pPr>
              <w:rPr>
                <w:color w:val="000000"/>
              </w:rPr>
            </w:pPr>
            <w:r>
              <w:rPr>
                <w:sz w:val="26"/>
                <w:szCs w:val="26"/>
              </w:rPr>
              <w:t xml:space="preserve">Bao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br/>
              <w:t xml:space="preserve">+ 01 </w:t>
            </w:r>
            <w:proofErr w:type="spellStart"/>
            <w:r>
              <w:rPr>
                <w:sz w:val="26"/>
                <w:szCs w:val="26"/>
              </w:rPr>
              <w:t>lưới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  <w:t xml:space="preserve">+ 01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cằm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  <w:t xml:space="preserve">+ 23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kèm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giữ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nhựa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  <w:t xml:space="preserve">+ 01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sấu</w:t>
            </w:r>
            <w:proofErr w:type="spellEnd"/>
            <w:r>
              <w:rPr>
                <w:sz w:val="26"/>
                <w:szCs w:val="26"/>
              </w:rPr>
              <w:t xml:space="preserve">, 30 </w:t>
            </w:r>
            <w:proofErr w:type="spellStart"/>
            <w:r>
              <w:rPr>
                <w:sz w:val="26"/>
                <w:szCs w:val="26"/>
              </w:rPr>
              <w:t>sợi</w:t>
            </w:r>
            <w:proofErr w:type="spellEnd"/>
            <w:r>
              <w:rPr>
                <w:sz w:val="26"/>
                <w:szCs w:val="26"/>
              </w:rPr>
              <w:t xml:space="preserve">/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br/>
              <w:t xml:space="preserve">+ 01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ECG, 2 </w:t>
            </w:r>
            <w:proofErr w:type="spellStart"/>
            <w:r>
              <w:rPr>
                <w:sz w:val="26"/>
                <w:szCs w:val="26"/>
              </w:rPr>
              <w:t>sợi</w:t>
            </w:r>
            <w:proofErr w:type="spellEnd"/>
            <w:r>
              <w:rPr>
                <w:sz w:val="26"/>
                <w:szCs w:val="26"/>
              </w:rPr>
              <w:t xml:space="preserve">/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  <w:t xml:space="preserve">+ 03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kẹp</w:t>
            </w:r>
            <w:proofErr w:type="spellEnd"/>
            <w:r>
              <w:rPr>
                <w:sz w:val="26"/>
                <w:szCs w:val="26"/>
              </w:rPr>
              <w:t xml:space="preserve"> tai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kèm</w:t>
            </w:r>
            <w:proofErr w:type="spellEnd"/>
            <w:r>
              <w:rPr>
                <w:sz w:val="26"/>
                <w:szCs w:val="26"/>
              </w:rPr>
              <w:t xml:space="preserve"> 3 </w:t>
            </w:r>
            <w:proofErr w:type="spellStart"/>
            <w:r>
              <w:rPr>
                <w:sz w:val="26"/>
                <w:szCs w:val="26"/>
              </w:rPr>
              <w:t>kẹp</w:t>
            </w:r>
            <w:proofErr w:type="spellEnd"/>
            <w:r>
              <w:rPr>
                <w:sz w:val="26"/>
                <w:szCs w:val="26"/>
              </w:rPr>
              <w:t xml:space="preserve"> tai.</w:t>
            </w:r>
            <w:r>
              <w:rPr>
                <w:sz w:val="26"/>
                <w:szCs w:val="26"/>
              </w:rPr>
              <w:br/>
              <w:t xml:space="preserve">+ 01 </w:t>
            </w:r>
            <w:proofErr w:type="spellStart"/>
            <w:r>
              <w:rPr>
                <w:sz w:val="26"/>
                <w:szCs w:val="26"/>
              </w:rPr>
              <w:t>túi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đệm</w:t>
            </w:r>
            <w:proofErr w:type="spellEnd"/>
            <w:r>
              <w:rPr>
                <w:sz w:val="26"/>
                <w:szCs w:val="26"/>
              </w:rPr>
              <w:t xml:space="preserve"> 100 </w:t>
            </w: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  <w:r>
              <w:rPr>
                <w:sz w:val="26"/>
                <w:szCs w:val="26"/>
              </w:rPr>
              <w:t xml:space="preserve">/ </w:t>
            </w:r>
            <w:proofErr w:type="spellStart"/>
            <w:r>
              <w:rPr>
                <w:sz w:val="26"/>
                <w:szCs w:val="26"/>
              </w:rPr>
              <w:t>túi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  <w:t xml:space="preserve">+ 01 que </w:t>
            </w:r>
            <w:proofErr w:type="spellStart"/>
            <w:r>
              <w:rPr>
                <w:sz w:val="26"/>
                <w:szCs w:val="26"/>
              </w:rPr>
              <w:t>hướng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kèm</w:t>
            </w:r>
            <w:proofErr w:type="spellEnd"/>
            <w:r>
              <w:rPr>
                <w:sz w:val="26"/>
                <w:szCs w:val="26"/>
              </w:rPr>
              <w:t xml:space="preserve"> 50 </w:t>
            </w:r>
            <w:proofErr w:type="spellStart"/>
            <w:r>
              <w:rPr>
                <w:sz w:val="26"/>
                <w:szCs w:val="26"/>
              </w:rPr>
              <w:t>vòng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O.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 xml:space="preserve"> Model: EEG-1200K - </w:t>
            </w:r>
            <w:proofErr w:type="spellStart"/>
            <w:r>
              <w:rPr>
                <w:sz w:val="26"/>
                <w:szCs w:val="26"/>
              </w:rPr>
              <w:t>Hãng</w:t>
            </w:r>
            <w:proofErr w:type="spellEnd"/>
            <w:r>
              <w:rPr>
                <w:sz w:val="26"/>
                <w:szCs w:val="26"/>
              </w:rPr>
              <w:t xml:space="preserve">: Nihon </w:t>
            </w:r>
            <w:proofErr w:type="spellStart"/>
            <w:r>
              <w:rPr>
                <w:sz w:val="26"/>
                <w:szCs w:val="26"/>
              </w:rPr>
              <w:t>Kohden</w:t>
            </w:r>
            <w:proofErr w:type="spellEnd"/>
            <w:r>
              <w:rPr>
                <w:sz w:val="26"/>
                <w:szCs w:val="26"/>
              </w:rPr>
              <w:t xml:space="preserve"> Corporation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EEB3930" w14:textId="72F7F9B5" w:rsidR="003B3DE3" w:rsidRDefault="003B3DE3" w:rsidP="003B3DE3">
            <w:pPr>
              <w:spacing w:line="276" w:lineRule="auto"/>
              <w:jc w:val="center"/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14:paraId="70FD9BB5" w14:textId="2E339376" w:rsidR="003B3DE3" w:rsidRDefault="003B3DE3" w:rsidP="003B3DE3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</w:tr>
      <w:tr w:rsidR="003B3DE3" w:rsidRPr="001737D0" w14:paraId="305900B8" w14:textId="77777777" w:rsidTr="005A0BEB">
        <w:trPr>
          <w:trHeight w:val="1616"/>
        </w:trPr>
        <w:tc>
          <w:tcPr>
            <w:tcW w:w="758" w:type="dxa"/>
            <w:vAlign w:val="center"/>
          </w:tcPr>
          <w:p w14:paraId="6A81BF91" w14:textId="5E493BA1" w:rsidR="003B3DE3" w:rsidRDefault="003B3DE3" w:rsidP="003B3DE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14:paraId="0E9F0C0C" w14:textId="3A81777D" w:rsidR="003B3DE3" w:rsidRDefault="003B3DE3" w:rsidP="003B3DE3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</w:p>
        </w:tc>
        <w:tc>
          <w:tcPr>
            <w:tcW w:w="5310" w:type="dxa"/>
            <w:shd w:val="clear" w:color="000000" w:fill="FFFFFF"/>
            <w:vAlign w:val="center"/>
          </w:tcPr>
          <w:p w14:paraId="069DF132" w14:textId="5E8110CF" w:rsidR="003B3DE3" w:rsidRDefault="003B3DE3" w:rsidP="003B3DE3">
            <w:pPr>
              <w:rPr>
                <w:color w:val="000000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nhựa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br/>
              <w:t xml:space="preserve">+ 1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/ 23 </w:t>
            </w: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não</w:t>
            </w:r>
            <w:proofErr w:type="spellEnd"/>
            <w:r>
              <w:rPr>
                <w:sz w:val="26"/>
                <w:szCs w:val="26"/>
              </w:rPr>
              <w:t xml:space="preserve"> Model: EEG-1200K - </w:t>
            </w:r>
            <w:proofErr w:type="spellStart"/>
            <w:r>
              <w:rPr>
                <w:sz w:val="26"/>
                <w:szCs w:val="26"/>
              </w:rPr>
              <w:t>Hãng</w:t>
            </w:r>
            <w:proofErr w:type="spellEnd"/>
            <w:r>
              <w:rPr>
                <w:sz w:val="26"/>
                <w:szCs w:val="26"/>
              </w:rPr>
              <w:t xml:space="preserve">: Nihon </w:t>
            </w:r>
            <w:proofErr w:type="spellStart"/>
            <w:r>
              <w:rPr>
                <w:sz w:val="26"/>
                <w:szCs w:val="26"/>
              </w:rPr>
              <w:t>Kohden</w:t>
            </w:r>
            <w:proofErr w:type="spellEnd"/>
            <w:r>
              <w:rPr>
                <w:sz w:val="26"/>
                <w:szCs w:val="26"/>
              </w:rPr>
              <w:t xml:space="preserve"> Corporation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743AAD8E" w14:textId="0BACCF57" w:rsidR="003B3DE3" w:rsidRDefault="003B3DE3" w:rsidP="003B3DE3">
            <w:pPr>
              <w:spacing w:line="276" w:lineRule="auto"/>
              <w:jc w:val="center"/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14:paraId="0A2108BD" w14:textId="7F9AFC4A" w:rsidR="003B3DE3" w:rsidRDefault="003B3DE3" w:rsidP="003B3DE3">
            <w:pPr>
              <w:spacing w:line="276" w:lineRule="auto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20113CA8" w14:textId="77777777" w:rsidR="001737D0" w:rsidRPr="005D6911" w:rsidRDefault="001737D0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5D6911">
        <w:rPr>
          <w:b/>
          <w:sz w:val="26"/>
          <w:szCs w:val="26"/>
        </w:rPr>
        <w:lastRenderedPageBreak/>
        <w:t xml:space="preserve">PHỤ LỤC </w:t>
      </w:r>
      <w:r>
        <w:rPr>
          <w:b/>
          <w:sz w:val="26"/>
          <w:szCs w:val="26"/>
        </w:rPr>
        <w:t>02</w:t>
      </w:r>
    </w:p>
    <w:p w14:paraId="5050AA55" w14:textId="77777777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2" w:name="bookmark8"/>
      <w:bookmarkStart w:id="3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2"/>
      <w:bookmarkEnd w:id="3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</w:t>
            </w:r>
            <w:proofErr w:type="spellStart"/>
            <w:r w:rsidRPr="00F83326">
              <w:rPr>
                <w:b/>
              </w:rPr>
              <w:t>cộng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2DF522C4" w14:textId="35A58A57" w:rsidR="001737D0" w:rsidRPr="00C2619E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lastRenderedPageBreak/>
        <w:t>PHỤ LỤC 0</w:t>
      </w:r>
      <w:r>
        <w:rPr>
          <w:b/>
          <w:sz w:val="26"/>
          <w:szCs w:val="26"/>
        </w:rPr>
        <w:t>2</w:t>
      </w:r>
      <w:r w:rsidRPr="00C2619E">
        <w:rPr>
          <w:b/>
          <w:sz w:val="26"/>
          <w:szCs w:val="26"/>
        </w:rPr>
        <w:t>.1</w:t>
      </w:r>
    </w:p>
    <w:p w14:paraId="30437EBD" w14:textId="77777777" w:rsidR="001737D0" w:rsidRPr="00C2619E" w:rsidRDefault="001737D0" w:rsidP="001737D0">
      <w:pPr>
        <w:spacing w:before="120" w:after="120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chú</w:t>
            </w:r>
            <w:proofErr w:type="spellEnd"/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có</w:t>
      </w:r>
      <w:proofErr w:type="spellEnd"/>
      <w:r w:rsidRPr="00C2619E">
        <w:rPr>
          <w:rStyle w:val="BodyTextChar1"/>
          <w:sz w:val="26"/>
          <w:szCs w:val="26"/>
        </w:rPr>
        <w:t>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41F0" w14:textId="77777777" w:rsidR="00140FCA" w:rsidRDefault="00140FCA">
      <w:r>
        <w:separator/>
      </w:r>
    </w:p>
  </w:endnote>
  <w:endnote w:type="continuationSeparator" w:id="0">
    <w:p w14:paraId="48027B2F" w14:textId="77777777" w:rsidR="00140FCA" w:rsidRDefault="001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F902" w14:textId="77777777" w:rsidR="00140FCA" w:rsidRDefault="00140FCA">
      <w:r>
        <w:separator/>
      </w:r>
    </w:p>
  </w:footnote>
  <w:footnote w:type="continuationSeparator" w:id="0">
    <w:p w14:paraId="1FD7ABD5" w14:textId="77777777" w:rsidR="00140FCA" w:rsidRDefault="0014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52AB"/>
    <w:rsid w:val="001365AC"/>
    <w:rsid w:val="0013689F"/>
    <w:rsid w:val="001379E2"/>
    <w:rsid w:val="0014073E"/>
    <w:rsid w:val="00140FCA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7A30"/>
    <w:rsid w:val="00172A27"/>
    <w:rsid w:val="00172B49"/>
    <w:rsid w:val="00172BEA"/>
    <w:rsid w:val="001737D0"/>
    <w:rsid w:val="00173D30"/>
    <w:rsid w:val="001743E2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24FC"/>
    <w:rsid w:val="002926E2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497B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72E"/>
    <w:rsid w:val="004A2D00"/>
    <w:rsid w:val="004A2D26"/>
    <w:rsid w:val="004A2FA2"/>
    <w:rsid w:val="004A3288"/>
    <w:rsid w:val="004A5C33"/>
    <w:rsid w:val="004A7A0F"/>
    <w:rsid w:val="004B0737"/>
    <w:rsid w:val="004B199C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11E1"/>
    <w:rsid w:val="00613A71"/>
    <w:rsid w:val="00614E2C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4110"/>
    <w:rsid w:val="006D7272"/>
    <w:rsid w:val="006D757C"/>
    <w:rsid w:val="006E0913"/>
    <w:rsid w:val="006E0EAC"/>
    <w:rsid w:val="006E1C75"/>
    <w:rsid w:val="006E2A8F"/>
    <w:rsid w:val="006E492F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6063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343E"/>
    <w:rsid w:val="00AB577F"/>
    <w:rsid w:val="00AB7998"/>
    <w:rsid w:val="00AB7AE6"/>
    <w:rsid w:val="00AC07EB"/>
    <w:rsid w:val="00AC0A7C"/>
    <w:rsid w:val="00AC12E9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6BDC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2F9A"/>
    <w:rsid w:val="00B64580"/>
    <w:rsid w:val="00B645CB"/>
    <w:rsid w:val="00B65D7F"/>
    <w:rsid w:val="00B66849"/>
    <w:rsid w:val="00B73191"/>
    <w:rsid w:val="00B732EB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5929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9D1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D3B"/>
    <w:rsid w:val="00FD7DA0"/>
    <w:rsid w:val="00FE0060"/>
    <w:rsid w:val="00FE0DAD"/>
    <w:rsid w:val="00FE2FA6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1418</Words>
  <Characters>8083</Characters>
  <Application>Microsoft Office Word</Application>
  <DocSecurity>0</DocSecurity>
  <PresentationFormat/>
  <Lines>67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9483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12</cp:revision>
  <cp:lastPrinted>2025-10-17T08:52:00Z</cp:lastPrinted>
  <dcterms:created xsi:type="dcterms:W3CDTF">2025-12-16T00:59:00Z</dcterms:created>
  <dcterms:modified xsi:type="dcterms:W3CDTF">2026-01-12T01:09:00Z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