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6E1E9082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B85E48">
              <w:rPr>
                <w:bCs/>
                <w:i/>
                <w:iCs/>
                <w:noProof/>
                <w:sz w:val="26"/>
                <w:szCs w:val="26"/>
              </w:rPr>
              <w:t>3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5B32A2E1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8B23EA">
        <w:rPr>
          <w:noProof/>
          <w:sz w:val="26"/>
          <w:szCs w:val="26"/>
        </w:rPr>
        <w:t>bộ đo huyết áp động mạch xâm lấn</w:t>
      </w:r>
      <w:r w:rsidR="001B1BA0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78381045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011487" w:rsidRPr="00B85E48">
        <w:rPr>
          <w:noProof/>
          <w:sz w:val="26"/>
          <w:szCs w:val="26"/>
        </w:rPr>
        <w:t>1</w:t>
      </w:r>
      <w:r w:rsidR="008B23EA">
        <w:rPr>
          <w:noProof/>
          <w:sz w:val="26"/>
          <w:szCs w:val="26"/>
        </w:rPr>
        <w:t>4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 xml:space="preserve">tháng </w:t>
      </w:r>
      <w:r w:rsidR="008B23EA">
        <w:rPr>
          <w:noProof/>
          <w:sz w:val="26"/>
          <w:szCs w:val="26"/>
        </w:rPr>
        <w:t>4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11AF071B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3C4316" w:rsidRPr="00B85E48">
        <w:rPr>
          <w:noProof/>
          <w:sz w:val="26"/>
          <w:szCs w:val="26"/>
        </w:rPr>
        <w:t>1</w:t>
      </w:r>
      <w:r w:rsidR="008B23EA">
        <w:rPr>
          <w:noProof/>
          <w:sz w:val="26"/>
          <w:szCs w:val="26"/>
        </w:rPr>
        <w:t>4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8B23EA">
        <w:rPr>
          <w:noProof/>
          <w:sz w:val="26"/>
          <w:szCs w:val="26"/>
        </w:rPr>
        <w:t>4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7AC6AFAA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8B23EA">
        <w:rPr>
          <w:noProof/>
          <w:sz w:val="26"/>
          <w:szCs w:val="26"/>
        </w:rPr>
        <w:t xml:space="preserve">bộ đo huyết áp động mạch xâm lấn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73D2C11A" w:rsidR="002C13EB" w:rsidRDefault="00010C33" w:rsidP="00F67B75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8B23EA" w:rsidRPr="008B23EA">
        <w:rPr>
          <w:b/>
          <w:bCs/>
          <w:noProof/>
          <w:sz w:val="26"/>
          <w:szCs w:val="26"/>
        </w:rPr>
        <w:t>BỘ ĐO HUYẾT ÁP ĐỘNG MẠCH XÂM LẤN</w:t>
      </w:r>
    </w:p>
    <w:p w14:paraId="4133CFDA" w14:textId="77777777" w:rsidR="002C13EB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3395A161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011487">
        <w:rPr>
          <w:sz w:val="26"/>
          <w:szCs w:val="26"/>
        </w:rPr>
        <w:t>3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6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4590"/>
        <w:gridCol w:w="1170"/>
        <w:gridCol w:w="1260"/>
      </w:tblGrid>
      <w:tr w:rsidR="00CE146B" w:rsidRPr="001737D0" w14:paraId="38B6DFBA" w14:textId="77777777" w:rsidTr="003A0A18">
        <w:trPr>
          <w:trHeight w:val="820"/>
          <w:tblHeader/>
        </w:trPr>
        <w:tc>
          <w:tcPr>
            <w:tcW w:w="918" w:type="dxa"/>
            <w:vAlign w:val="center"/>
            <w:hideMark/>
          </w:tcPr>
          <w:bookmarkEnd w:id="1"/>
          <w:bookmarkEnd w:id="2"/>
          <w:p w14:paraId="662DCDAC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STT</w:t>
            </w:r>
          </w:p>
        </w:tc>
        <w:tc>
          <w:tcPr>
            <w:tcW w:w="1710" w:type="dxa"/>
            <w:vAlign w:val="center"/>
            <w:hideMark/>
          </w:tcPr>
          <w:p w14:paraId="063833DA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Tên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hàng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4590" w:type="dxa"/>
            <w:vAlign w:val="center"/>
            <w:hideMark/>
          </w:tcPr>
          <w:p w14:paraId="3529E90B" w14:textId="0737A4B0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 xml:space="preserve">Thông </w:t>
            </w: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kỹ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1BFE7A01" w14:textId="10A8DC51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ĐVT</w:t>
            </w:r>
          </w:p>
        </w:tc>
        <w:tc>
          <w:tcPr>
            <w:tcW w:w="1260" w:type="dxa"/>
            <w:vAlign w:val="center"/>
            <w:hideMark/>
          </w:tcPr>
          <w:p w14:paraId="0C9B3116" w14:textId="77777777" w:rsidR="00CE146B" w:rsidRPr="001737D0" w:rsidRDefault="00CE146B" w:rsidP="00A749B4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lượng</w:t>
            </w:r>
            <w:proofErr w:type="spellEnd"/>
          </w:p>
        </w:tc>
      </w:tr>
      <w:tr w:rsidR="003C2C14" w:rsidRPr="001737D0" w14:paraId="1F21BA21" w14:textId="77777777" w:rsidTr="00AB7576">
        <w:trPr>
          <w:trHeight w:val="3965"/>
        </w:trPr>
        <w:tc>
          <w:tcPr>
            <w:tcW w:w="918" w:type="dxa"/>
            <w:vAlign w:val="center"/>
          </w:tcPr>
          <w:p w14:paraId="4BDF5783" w14:textId="6DD01340" w:rsidR="003C2C14" w:rsidRPr="001737D0" w:rsidRDefault="003C2C14" w:rsidP="003C2C14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522D2843" w14:textId="4B1C961A" w:rsidR="003C2C14" w:rsidRPr="001737D0" w:rsidRDefault="003C2C14" w:rsidP="003C2C14">
            <w:pPr>
              <w:spacing w:line="276" w:lineRule="auto"/>
              <w:rPr>
                <w:color w:val="000000"/>
              </w:rPr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huyết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xâm</w:t>
            </w:r>
            <w:proofErr w:type="spellEnd"/>
            <w:r>
              <w:t xml:space="preserve"> </w:t>
            </w:r>
            <w:proofErr w:type="spellStart"/>
            <w:r>
              <w:t>lấn</w:t>
            </w:r>
            <w:proofErr w:type="spellEnd"/>
          </w:p>
        </w:tc>
        <w:tc>
          <w:tcPr>
            <w:tcW w:w="4590" w:type="dxa"/>
            <w:shd w:val="clear" w:color="000000" w:fill="FFFFFF"/>
            <w:vAlign w:val="center"/>
          </w:tcPr>
          <w:p w14:paraId="60312C01" w14:textId="3FE526BD" w:rsidR="003C2C14" w:rsidRPr="00047847" w:rsidRDefault="003C2C14" w:rsidP="003C2C14">
            <w:pPr>
              <w:rPr>
                <w:sz w:val="26"/>
                <w:szCs w:val="26"/>
              </w:rPr>
            </w:pPr>
            <w:r>
              <w:t xml:space="preserve">Phạm vi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-50mmHg </w:t>
            </w:r>
            <w:proofErr w:type="spellStart"/>
            <w:r>
              <w:t>đến</w:t>
            </w:r>
            <w:proofErr w:type="spellEnd"/>
            <w:r>
              <w:t xml:space="preserve"> +300mmHg</w:t>
            </w:r>
            <w:r>
              <w:br/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nhạy</w:t>
            </w:r>
            <w:proofErr w:type="spellEnd"/>
            <w:r>
              <w:t xml:space="preserve"> 5.0 µV/V/mmHg</w:t>
            </w:r>
            <w:r w:rsidR="00AB7576">
              <w:t xml:space="preserve"> </w:t>
            </w:r>
            <w:r>
              <w:t>±</w:t>
            </w:r>
            <w:r w:rsidR="00AB7576">
              <w:t xml:space="preserve"> </w:t>
            </w:r>
            <w:r>
              <w:t>3%</w:t>
            </w:r>
            <w:r>
              <w:br/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kháng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1200Ω – 3200Ω</w:t>
            </w:r>
            <w:r>
              <w:br/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kháng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300 ±</w:t>
            </w:r>
            <w:r w:rsidR="00AB7576">
              <w:t xml:space="preserve"> </w:t>
            </w:r>
            <w:r>
              <w:t>5%</w:t>
            </w:r>
            <w:r>
              <w:br/>
              <w:t xml:space="preserve">Sai </w:t>
            </w:r>
            <w:proofErr w:type="spellStart"/>
            <w:r>
              <w:t>lệch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zero -20 mmHg </w:t>
            </w:r>
            <w:proofErr w:type="spellStart"/>
            <w:r>
              <w:t>đến</w:t>
            </w:r>
            <w:proofErr w:type="spellEnd"/>
            <w:r>
              <w:t xml:space="preserve"> +20 mmHg</w:t>
            </w:r>
            <w:r>
              <w:br/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lệch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>: ≤ ±</w:t>
            </w:r>
            <w:r w:rsidR="00AB7576">
              <w:t xml:space="preserve"> </w:t>
            </w:r>
            <w:r>
              <w:t>0.3 mmHg/°C</w:t>
            </w:r>
            <w:r>
              <w:br/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: -400 </w:t>
            </w:r>
            <w:proofErr w:type="spellStart"/>
            <w:r>
              <w:t>đến</w:t>
            </w:r>
            <w:proofErr w:type="spellEnd"/>
            <w:r>
              <w:t xml:space="preserve"> +4000 mmHg</w:t>
            </w:r>
            <w:r>
              <w:br/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sốc</w:t>
            </w:r>
            <w:proofErr w:type="spellEnd"/>
            <w:r>
              <w:t xml:space="preserve">: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cú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1m.</w:t>
            </w:r>
            <w:r>
              <w:br/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cáp</w:t>
            </w:r>
            <w:proofErr w:type="spellEnd"/>
            <w:r>
              <w:br/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>.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968B494" w14:textId="4D10CE7C" w:rsidR="003C2C14" w:rsidRPr="003C2C14" w:rsidRDefault="003C2C14" w:rsidP="003C2C1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10E43DC0" w14:textId="3B31474A" w:rsidR="003C2C14" w:rsidRPr="001737D0" w:rsidRDefault="003C2C14" w:rsidP="003C2C14">
            <w:pPr>
              <w:spacing w:line="276" w:lineRule="auto"/>
              <w:jc w:val="center"/>
              <w:rPr>
                <w:color w:val="000000"/>
              </w:rPr>
            </w:pPr>
            <w:r>
              <w:t>850</w:t>
            </w:r>
          </w:p>
        </w:tc>
      </w:tr>
      <w:tr w:rsidR="003C2C14" w:rsidRPr="001737D0" w14:paraId="3454AFF7" w14:textId="77777777" w:rsidTr="00AB7576">
        <w:trPr>
          <w:trHeight w:val="3956"/>
        </w:trPr>
        <w:tc>
          <w:tcPr>
            <w:tcW w:w="918" w:type="dxa"/>
            <w:vAlign w:val="center"/>
          </w:tcPr>
          <w:p w14:paraId="268CE81C" w14:textId="434E0E33" w:rsidR="003C2C14" w:rsidRDefault="003C2C14" w:rsidP="003C2C1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06B149D3" w14:textId="6A974C9D" w:rsidR="003C2C14" w:rsidRDefault="003C2C14" w:rsidP="003C2C1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lấn</w:t>
            </w:r>
            <w:proofErr w:type="spellEnd"/>
          </w:p>
        </w:tc>
        <w:tc>
          <w:tcPr>
            <w:tcW w:w="4590" w:type="dxa"/>
            <w:shd w:val="clear" w:color="000000" w:fill="FFFFFF"/>
            <w:vAlign w:val="center"/>
          </w:tcPr>
          <w:p w14:paraId="5A69DA59" w14:textId="550BF51A" w:rsidR="003C2C14" w:rsidRPr="001749C9" w:rsidRDefault="003C2C14" w:rsidP="003C2C14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Phạm vi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: -50mmHg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+300mmHg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nhạy</w:t>
            </w:r>
            <w:proofErr w:type="spellEnd"/>
            <w:r>
              <w:rPr>
                <w:color w:val="000000"/>
              </w:rPr>
              <w:t xml:space="preserve"> 5.0 µV/V/mmHg ±</w:t>
            </w:r>
            <w:r w:rsidR="00AB7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3%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Trở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1200Ω – 3200Ω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Trở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300 ±</w:t>
            </w:r>
            <w:r w:rsidR="00AB7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5%</w:t>
            </w:r>
            <w:r>
              <w:rPr>
                <w:color w:val="000000"/>
              </w:rPr>
              <w:br/>
              <w:t xml:space="preserve">Sai </w:t>
            </w:r>
            <w:proofErr w:type="spellStart"/>
            <w:r>
              <w:rPr>
                <w:color w:val="000000"/>
              </w:rPr>
              <w:t>lệch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lực</w:t>
            </w:r>
            <w:proofErr w:type="spellEnd"/>
            <w:r>
              <w:rPr>
                <w:color w:val="000000"/>
              </w:rPr>
              <w:t xml:space="preserve"> zero -20 mmHg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+20 mmHg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lệch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nhiệt</w:t>
            </w:r>
            <w:proofErr w:type="spellEnd"/>
            <w:r>
              <w:rPr>
                <w:color w:val="000000"/>
              </w:rPr>
              <w:t>: ≤</w:t>
            </w:r>
            <w:r w:rsidR="00AB7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±</w:t>
            </w:r>
            <w:r w:rsidR="00AB75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0.3 mmHg/°C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Tải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trọng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áp</w:t>
            </w:r>
            <w:proofErr w:type="spellEnd"/>
            <w:r>
              <w:rPr>
                <w:color w:val="000000"/>
              </w:rPr>
              <w:t xml:space="preserve">: -400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+4000 mmHg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Khả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sốc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Chịu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cao</w:t>
            </w:r>
            <w:proofErr w:type="spellEnd"/>
            <w:r>
              <w:rPr>
                <w:color w:val="000000"/>
              </w:rPr>
              <w:t xml:space="preserve"> 1m.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cáp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9EA791A" w14:textId="67E1B0EA" w:rsidR="003C2C14" w:rsidRDefault="003C2C14" w:rsidP="003C2C1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000000" w:fill="FFFFFF"/>
            <w:vAlign w:val="center"/>
          </w:tcPr>
          <w:p w14:paraId="23349C16" w14:textId="52DBE4CC" w:rsidR="003C2C14" w:rsidRDefault="003C2C14" w:rsidP="003C2C1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25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1011" w14:textId="77777777" w:rsidR="00A719B0" w:rsidRDefault="00A719B0">
      <w:r>
        <w:separator/>
      </w:r>
    </w:p>
  </w:endnote>
  <w:endnote w:type="continuationSeparator" w:id="0">
    <w:p w14:paraId="77011378" w14:textId="77777777" w:rsidR="00A719B0" w:rsidRDefault="00A7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EF25" w14:textId="77777777" w:rsidR="00A719B0" w:rsidRDefault="00A719B0">
      <w:r>
        <w:separator/>
      </w:r>
    </w:p>
  </w:footnote>
  <w:footnote w:type="continuationSeparator" w:id="0">
    <w:p w14:paraId="0B179FCD" w14:textId="77777777" w:rsidR="00A719B0" w:rsidRDefault="00A7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576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D3B"/>
    <w:rsid w:val="00FD7DA0"/>
    <w:rsid w:val="00FE0060"/>
    <w:rsid w:val="00FE0DAD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1335</Words>
  <Characters>7612</Characters>
  <Application>Microsoft Office Word</Application>
  <DocSecurity>0</DocSecurity>
  <PresentationFormat/>
  <Lines>63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8930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28</cp:revision>
  <cp:lastPrinted>2026-03-16T07:27:00Z</cp:lastPrinted>
  <dcterms:created xsi:type="dcterms:W3CDTF">2025-12-16T00:59:00Z</dcterms:created>
  <dcterms:modified xsi:type="dcterms:W3CDTF">2026-03-31T01:00:00Z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